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65467" w14:textId="04DD51CB" w:rsidR="009B3D66" w:rsidRPr="00FF01DE" w:rsidRDefault="00000000">
      <w:pPr>
        <w:bidi/>
        <w:jc w:val="center"/>
        <w:rPr>
          <w:color w:val="4F81BD" w:themeColor="accent1"/>
          <w:sz w:val="36"/>
          <w:szCs w:val="28"/>
        </w:rPr>
      </w:pPr>
      <w:r w:rsidRPr="00FF01DE">
        <w:rPr>
          <w:b/>
          <w:color w:val="4F81BD" w:themeColor="accent1"/>
          <w:sz w:val="48"/>
          <w:szCs w:val="28"/>
          <w:rtl/>
        </w:rPr>
        <w:t>تقرير حول الاتجاهات التكنولوجية في مجال براءات الاختراع</w:t>
      </w:r>
    </w:p>
    <w:p w14:paraId="4FE8C704" w14:textId="7F93650B" w:rsidR="009B3D66" w:rsidRPr="00C41901" w:rsidRDefault="00000000" w:rsidP="00C41901">
      <w:pPr>
        <w:pStyle w:val="Paragraphedeliste"/>
        <w:numPr>
          <w:ilvl w:val="0"/>
          <w:numId w:val="10"/>
        </w:numPr>
        <w:bidi/>
        <w:spacing w:before="280" w:after="120"/>
        <w:rPr>
          <w:color w:val="4F81BD" w:themeColor="accent1"/>
        </w:rPr>
      </w:pPr>
      <w:r w:rsidRPr="00C41901">
        <w:rPr>
          <w:b/>
          <w:color w:val="4F81BD" w:themeColor="accent1"/>
          <w:sz w:val="32"/>
          <w:rtl/>
        </w:rPr>
        <w:t xml:space="preserve">الوصف </w:t>
      </w:r>
    </w:p>
    <w:p w14:paraId="3027D73F" w14:textId="77777777" w:rsidR="009B3D66" w:rsidRDefault="00000000">
      <w:pPr>
        <w:bidi/>
        <w:spacing w:after="120" w:line="300" w:lineRule="auto"/>
      </w:pPr>
      <w:r>
        <w:rPr>
          <w:rtl/>
        </w:rPr>
        <w:t>يعتبر تقرير "الاتجاهات التكنولوجية" خدمة تتيح للمستفيدين الحصول في وقت محدد على معلومات مستهدفة حول التطورات والتقدم التكنولوجي المسجل في مجال تقني معين.</w:t>
      </w:r>
    </w:p>
    <w:p w14:paraId="037949DB" w14:textId="77777777" w:rsidR="009B3D66" w:rsidRDefault="00000000">
      <w:pPr>
        <w:bidi/>
        <w:spacing w:after="120" w:line="300" w:lineRule="auto"/>
      </w:pPr>
      <w:r>
        <w:rPr>
          <w:rtl/>
        </w:rPr>
        <w:t>وتعتمد هذه الخدمة على تحليل وضعية براءات الاختراع الخاصة بتكنولوجيا معينة، مع تقديم تمثيل بصري لنتائج التحليل الإحصائي المطبق على براءات الاختراع في شكل خرائط بيانية.</w:t>
      </w:r>
    </w:p>
    <w:p w14:paraId="5F13125A" w14:textId="77777777" w:rsidR="009B3D66" w:rsidRDefault="00000000">
      <w:pPr>
        <w:bidi/>
        <w:spacing w:after="240" w:line="300" w:lineRule="auto"/>
      </w:pPr>
      <w:r>
        <w:rPr>
          <w:rtl/>
        </w:rPr>
        <w:t>انطلاقاً من هذه الخدمة، يتم استخراج معلومات قانونية وتجارية وتكنولوجية وعرضها بطريقة تسهل فهم سلوك وتطور التكنولوجيا المستهدفة، وذلك بهدف اتخاذ قرارات مستنيرة قبل الاستثمار في تكنولوجيات جديدة، أو عقد شراكات جديدة، أو التخطيط للبحث الاستراتيجي أو نقل التكنولوجيا.</w:t>
      </w:r>
    </w:p>
    <w:p w14:paraId="79B3DE95" w14:textId="0EB53D33" w:rsidR="009B3D66" w:rsidRPr="00C41901" w:rsidRDefault="00000000" w:rsidP="00C41901">
      <w:pPr>
        <w:pStyle w:val="Paragraphedeliste"/>
        <w:numPr>
          <w:ilvl w:val="0"/>
          <w:numId w:val="10"/>
        </w:numPr>
        <w:bidi/>
        <w:spacing w:before="280" w:after="120"/>
        <w:rPr>
          <w:b/>
          <w:color w:val="4F81BD" w:themeColor="accent1"/>
          <w:sz w:val="32"/>
        </w:rPr>
      </w:pPr>
      <w:r w:rsidRPr="00FF01DE">
        <w:rPr>
          <w:b/>
          <w:color w:val="4F81BD" w:themeColor="accent1"/>
          <w:sz w:val="32"/>
          <w:rtl/>
        </w:rPr>
        <w:t xml:space="preserve">أهداف التقرير حول الاتجاهات التكنولوجية </w:t>
      </w:r>
    </w:p>
    <w:p w14:paraId="046EFCCF" w14:textId="1061988C" w:rsidR="009B3D66" w:rsidRDefault="00000000">
      <w:pPr>
        <w:bidi/>
        <w:spacing w:after="120" w:line="300" w:lineRule="auto"/>
      </w:pPr>
      <w:r>
        <w:rPr>
          <w:rtl/>
        </w:rPr>
        <w:t>يتيح التقرير حول الاتجاهات التكنولوجية للمستفيدين تحديد المجالات التقنية التي ينشط فيها فاعلون محددون (منافسون وشركاء)، والحصول على رؤية شاملة حول تطور محافظ</w:t>
      </w:r>
      <w:r w:rsidR="0024761E" w:rsidRPr="0024761E">
        <w:rPr>
          <w:rFonts w:cs="Arial"/>
          <w:rtl/>
        </w:rPr>
        <w:t>هم</w:t>
      </w:r>
      <w:r>
        <w:rPr>
          <w:rtl/>
        </w:rPr>
        <w:t xml:space="preserve"> للملكية الفكرية عبر الزمن، بالإضافة إلى إمكانية اكتشاف الأسواق المحتملة والدول التي تمتلك التكنولوجيات المستهدفة. وتتلخص هذه الأهداف فيما يلي:</w:t>
      </w:r>
    </w:p>
    <w:p w14:paraId="30E53C49" w14:textId="77777777" w:rsidR="009B3D66" w:rsidRDefault="00000000">
      <w:pPr>
        <w:bidi/>
        <w:spacing w:after="80" w:line="288" w:lineRule="auto"/>
        <w:ind w:right="360"/>
      </w:pPr>
      <w:r>
        <w:rPr>
          <w:sz w:val="26"/>
          <w:rtl/>
        </w:rPr>
        <w:t>• اليقظة التكنولوجية (Veille technologique)</w:t>
      </w:r>
    </w:p>
    <w:p w14:paraId="65468101" w14:textId="77777777" w:rsidR="009B3D66" w:rsidRDefault="00000000">
      <w:pPr>
        <w:bidi/>
        <w:spacing w:after="80" w:line="288" w:lineRule="auto"/>
        <w:ind w:right="360"/>
      </w:pPr>
      <w:r>
        <w:rPr>
          <w:sz w:val="26"/>
          <w:rtl/>
        </w:rPr>
        <w:t>• اليقظة التنافسية (Veille concurrentielle)</w:t>
      </w:r>
    </w:p>
    <w:p w14:paraId="5CCFDDF3" w14:textId="77777777" w:rsidR="009B3D66" w:rsidRDefault="00000000">
      <w:pPr>
        <w:bidi/>
        <w:spacing w:after="80" w:line="288" w:lineRule="auto"/>
        <w:ind w:right="360"/>
      </w:pPr>
      <w:r>
        <w:rPr>
          <w:sz w:val="26"/>
          <w:rtl/>
        </w:rPr>
        <w:t>• اتخاذ القرار في مجال البحث والتطوير (R&amp;D)</w:t>
      </w:r>
    </w:p>
    <w:p w14:paraId="2D82A445" w14:textId="77777777" w:rsidR="009B3D66" w:rsidRDefault="00000000">
      <w:pPr>
        <w:bidi/>
        <w:spacing w:after="80" w:line="288" w:lineRule="auto"/>
        <w:ind w:right="360"/>
      </w:pPr>
      <w:r>
        <w:rPr>
          <w:sz w:val="26"/>
          <w:rtl/>
        </w:rPr>
        <w:t>• الشراكات والتعاون</w:t>
      </w:r>
    </w:p>
    <w:p w14:paraId="07E4C19D" w14:textId="77777777" w:rsidR="009B3D66" w:rsidRDefault="00000000">
      <w:pPr>
        <w:bidi/>
        <w:spacing w:after="80" w:line="288" w:lineRule="auto"/>
        <w:ind w:right="360"/>
      </w:pPr>
      <w:r>
        <w:rPr>
          <w:sz w:val="26"/>
          <w:rtl/>
        </w:rPr>
        <w:t>• الاندماجات والاستحواذات</w:t>
      </w:r>
    </w:p>
    <w:p w14:paraId="6DE44FA4" w14:textId="77777777" w:rsidR="009B3D66" w:rsidRDefault="00000000">
      <w:pPr>
        <w:bidi/>
        <w:spacing w:after="80" w:line="288" w:lineRule="auto"/>
        <w:ind w:right="360"/>
      </w:pPr>
      <w:r>
        <w:rPr>
          <w:sz w:val="26"/>
          <w:rtl/>
        </w:rPr>
        <w:t>• نقل التكنولوجيا ومنح التراخيص</w:t>
      </w:r>
    </w:p>
    <w:p w14:paraId="6AD03BD7" w14:textId="5E30C274" w:rsidR="009B3D66" w:rsidRPr="00C41901" w:rsidRDefault="00000000" w:rsidP="00C41901">
      <w:pPr>
        <w:pStyle w:val="Paragraphedeliste"/>
        <w:numPr>
          <w:ilvl w:val="0"/>
          <w:numId w:val="10"/>
        </w:numPr>
        <w:bidi/>
        <w:spacing w:before="280" w:after="120"/>
        <w:rPr>
          <w:b/>
          <w:color w:val="4F81BD" w:themeColor="accent1"/>
          <w:sz w:val="32"/>
        </w:rPr>
      </w:pPr>
      <w:r w:rsidRPr="00FF01DE">
        <w:rPr>
          <w:b/>
          <w:color w:val="4F81BD" w:themeColor="accent1"/>
          <w:sz w:val="32"/>
          <w:rtl/>
        </w:rPr>
        <w:t xml:space="preserve">محتوى التقرير حول الاتجاهات التكنولوجية </w:t>
      </w:r>
    </w:p>
    <w:p w14:paraId="51948B49" w14:textId="77777777" w:rsidR="009B3D66" w:rsidRDefault="00000000">
      <w:pPr>
        <w:bidi/>
        <w:spacing w:after="120" w:line="300" w:lineRule="auto"/>
      </w:pPr>
      <w:r>
        <w:rPr>
          <w:rtl/>
        </w:rPr>
        <w:t>يتكون التقرير حول الاتجاهات التكنولوجية من جزءين: جزء أول يعرض موضوع البحث مع مقدمة لنظام براءات الاختراع، وجزء ثاني يتضمن تحليلاً إحصائياً لنتائج البحث في مجال براءات الاختراع المتعلقة بموضوع طلب البحث، ويقدم حالة كل من:</w:t>
      </w:r>
    </w:p>
    <w:p w14:paraId="4AB043D0" w14:textId="77777777" w:rsidR="009B3D66" w:rsidRDefault="00000000">
      <w:pPr>
        <w:bidi/>
        <w:spacing w:after="80" w:line="288" w:lineRule="auto"/>
        <w:ind w:right="360"/>
      </w:pPr>
      <w:r>
        <w:rPr>
          <w:rtl/>
        </w:rPr>
        <w:t xml:space="preserve">• </w:t>
      </w:r>
      <w:r>
        <w:rPr>
          <w:b/>
          <w:color w:val="0F2240"/>
          <w:rtl/>
        </w:rPr>
        <w:t>التطور التكنولوجي:</w:t>
      </w:r>
      <w:r>
        <w:rPr>
          <w:rtl/>
        </w:rPr>
        <w:t xml:space="preserve"> يمثل تطور الإنتاج العالمي لبراءات الاختراع المتعلقة بمجال تكنولوجي محدد خلال فترة زمنية معينة (على سبيل المثال 20 سنة).</w:t>
      </w:r>
    </w:p>
    <w:p w14:paraId="672669A9" w14:textId="77777777" w:rsidR="009B3D66" w:rsidRDefault="00000000">
      <w:pPr>
        <w:bidi/>
        <w:spacing w:after="80" w:line="288" w:lineRule="auto"/>
        <w:ind w:right="360"/>
      </w:pPr>
      <w:r>
        <w:rPr>
          <w:rtl/>
        </w:rPr>
        <w:t xml:space="preserve">• </w:t>
      </w:r>
      <w:r>
        <w:rPr>
          <w:b/>
          <w:color w:val="0F2240"/>
          <w:rtl/>
        </w:rPr>
        <w:t>خريطة الدول المنتجة للتكنولوجيا:</w:t>
      </w:r>
      <w:r>
        <w:rPr>
          <w:rtl/>
        </w:rPr>
        <w:t xml:space="preserve"> تمثل توزيعاً جغرافياً لبراءات الاختراع حسب بلد أصل التكنولوجيا.</w:t>
      </w:r>
    </w:p>
    <w:p w14:paraId="47B07633" w14:textId="77777777" w:rsidR="009B3D66" w:rsidRDefault="00000000">
      <w:pPr>
        <w:bidi/>
        <w:spacing w:after="80" w:line="288" w:lineRule="auto"/>
        <w:ind w:right="360"/>
      </w:pPr>
      <w:r>
        <w:rPr>
          <w:rtl/>
        </w:rPr>
        <w:t xml:space="preserve">• </w:t>
      </w:r>
      <w:r>
        <w:rPr>
          <w:b/>
          <w:color w:val="0F2240"/>
          <w:rtl/>
        </w:rPr>
        <w:t>الأسواق المحتملة للتكنولوجيا:</w:t>
      </w:r>
      <w:r>
        <w:rPr>
          <w:rtl/>
        </w:rPr>
        <w:t xml:space="preserve"> تمثل توزيعاً جغرافياً لبراءات الاختراع حسب الدول المستهدفة بالحماية. وفي الواقع، فإن حماية براءة اختراع في بلد آخر غير بلد الأصل تشير إلى وجود اهتمام وربحية محتملة لها في ذلك الإقليم.</w:t>
      </w:r>
    </w:p>
    <w:p w14:paraId="57B35B64" w14:textId="77777777" w:rsidR="009B3D66" w:rsidRDefault="00000000">
      <w:pPr>
        <w:bidi/>
        <w:spacing w:after="80" w:line="288" w:lineRule="auto"/>
        <w:ind w:right="360"/>
      </w:pPr>
      <w:r>
        <w:rPr>
          <w:rtl/>
        </w:rPr>
        <w:t xml:space="preserve">• </w:t>
      </w:r>
      <w:r>
        <w:rPr>
          <w:b/>
          <w:color w:val="0F2240"/>
          <w:rtl/>
        </w:rPr>
        <w:t>كبار المودعين / تسارع المودعين:</w:t>
      </w:r>
      <w:r>
        <w:rPr>
          <w:rtl/>
        </w:rPr>
        <w:t xml:space="preserve"> يتيح إبراز الفاعلين النشطين والمبتكرين العاملين في مجال تكنولوجي معين، والذين يمكن أن يكونوا منافسين أو شركاء محتملين.</w:t>
      </w:r>
    </w:p>
    <w:p w14:paraId="02EF3624" w14:textId="77777777" w:rsidR="00FF01DE" w:rsidRDefault="00000000">
      <w:pPr>
        <w:bidi/>
        <w:spacing w:after="80" w:line="288" w:lineRule="auto"/>
        <w:ind w:right="360"/>
      </w:pPr>
      <w:r>
        <w:rPr>
          <w:rtl/>
        </w:rPr>
        <w:t xml:space="preserve">• </w:t>
      </w:r>
      <w:r>
        <w:rPr>
          <w:b/>
          <w:color w:val="0F2240"/>
          <w:rtl/>
        </w:rPr>
        <w:t>الوضعية القانونية:</w:t>
      </w:r>
      <w:r>
        <w:rPr>
          <w:rtl/>
        </w:rPr>
        <w:t xml:space="preserve"> تمثل تحليلاً للوضع الحالي للوضع القانوني لبراءات الاختراع (ممنوحة، مرفوضة، منقضية، منتهية </w:t>
      </w:r>
    </w:p>
    <w:p w14:paraId="16C5F581" w14:textId="02C60D0C" w:rsidR="009B3D66" w:rsidRDefault="00000000" w:rsidP="00FF01DE">
      <w:pPr>
        <w:bidi/>
        <w:spacing w:after="80" w:line="288" w:lineRule="auto"/>
        <w:ind w:right="360"/>
      </w:pPr>
      <w:r>
        <w:rPr>
          <w:rtl/>
        </w:rPr>
        <w:t>الصلاحية، أو قيد الانتظار).</w:t>
      </w:r>
    </w:p>
    <w:p w14:paraId="4368181A" w14:textId="44828BE5" w:rsidR="009B3D66" w:rsidRPr="00C41901" w:rsidRDefault="00000000" w:rsidP="00C41901">
      <w:pPr>
        <w:pStyle w:val="Paragraphedeliste"/>
        <w:numPr>
          <w:ilvl w:val="0"/>
          <w:numId w:val="10"/>
        </w:numPr>
        <w:bidi/>
        <w:spacing w:before="280" w:after="120"/>
        <w:rPr>
          <w:b/>
          <w:color w:val="4F81BD" w:themeColor="accent1"/>
          <w:sz w:val="32"/>
        </w:rPr>
      </w:pPr>
      <w:r w:rsidRPr="00FF01DE">
        <w:rPr>
          <w:b/>
          <w:color w:val="4F81BD" w:themeColor="accent1"/>
          <w:sz w:val="32"/>
          <w:rtl/>
        </w:rPr>
        <w:t xml:space="preserve">المستفيدون من الخدمة </w:t>
      </w:r>
    </w:p>
    <w:p w14:paraId="0B7166CE" w14:textId="77777777" w:rsidR="009B3D66" w:rsidRDefault="00000000">
      <w:pPr>
        <w:bidi/>
        <w:spacing w:after="120" w:line="300" w:lineRule="auto"/>
      </w:pPr>
      <w:r>
        <w:rPr>
          <w:rtl/>
        </w:rPr>
        <w:lastRenderedPageBreak/>
        <w:t>تستهدف خدمة "التقرير حول الاتجاهات التكنولوجية" في مجال براءات الاختراع الفئات التالية:</w:t>
      </w:r>
    </w:p>
    <w:p w14:paraId="188199A5" w14:textId="77777777" w:rsidR="009B3D66" w:rsidRDefault="00000000">
      <w:pPr>
        <w:bidi/>
        <w:spacing w:after="80" w:line="288" w:lineRule="auto"/>
        <w:ind w:right="360"/>
      </w:pPr>
      <w:r>
        <w:rPr>
          <w:sz w:val="26"/>
          <w:rtl/>
        </w:rPr>
        <w:t>• الشركات (الشركات الصغرى والمتوسطة PME، الشركات الصغرى جداً TPE، والناشئة Start-up...)؛</w:t>
      </w:r>
    </w:p>
    <w:p w14:paraId="3EF01A3F" w14:textId="77777777" w:rsidR="009B3D66" w:rsidRDefault="00000000">
      <w:pPr>
        <w:bidi/>
        <w:spacing w:after="80" w:line="288" w:lineRule="auto"/>
        <w:ind w:right="360"/>
      </w:pPr>
      <w:r>
        <w:rPr>
          <w:sz w:val="26"/>
          <w:rtl/>
        </w:rPr>
        <w:t>• مراكز البحث، المراكز التقنية، والتكتلات النسيجية (Clusters)؛</w:t>
      </w:r>
    </w:p>
    <w:p w14:paraId="1C2BAB6B" w14:textId="77777777" w:rsidR="009B3D66" w:rsidRDefault="00000000">
      <w:pPr>
        <w:bidi/>
        <w:spacing w:after="80" w:line="288" w:lineRule="auto"/>
        <w:ind w:right="360"/>
      </w:pPr>
      <w:r>
        <w:rPr>
          <w:sz w:val="26"/>
          <w:rtl/>
        </w:rPr>
        <w:t>• الجامعات ومكاتب نقل التكنولوجيا (TTO)؛</w:t>
      </w:r>
    </w:p>
    <w:p w14:paraId="525BFB1E" w14:textId="77777777" w:rsidR="009B3D66" w:rsidRDefault="00000000">
      <w:pPr>
        <w:bidi/>
        <w:spacing w:after="80" w:line="288" w:lineRule="auto"/>
        <w:ind w:right="360"/>
      </w:pPr>
      <w:r>
        <w:rPr>
          <w:sz w:val="26"/>
          <w:rtl/>
        </w:rPr>
        <w:t>• الأشخاص الذاتيون (المخترعون، الباحثون... إلخ).</w:t>
      </w:r>
    </w:p>
    <w:p w14:paraId="2DBD802C" w14:textId="648B6FA5" w:rsidR="009B3D66" w:rsidRPr="00C41901" w:rsidRDefault="00000000" w:rsidP="00C41901">
      <w:pPr>
        <w:pStyle w:val="Paragraphedeliste"/>
        <w:numPr>
          <w:ilvl w:val="0"/>
          <w:numId w:val="10"/>
        </w:numPr>
        <w:bidi/>
        <w:spacing w:before="280" w:after="120"/>
        <w:rPr>
          <w:b/>
          <w:color w:val="4F81BD" w:themeColor="accent1"/>
          <w:sz w:val="32"/>
        </w:rPr>
      </w:pPr>
      <w:r w:rsidRPr="00FF01DE">
        <w:rPr>
          <w:b/>
          <w:color w:val="4F81BD" w:themeColor="accent1"/>
          <w:sz w:val="32"/>
          <w:rtl/>
        </w:rPr>
        <w:t>طلب الخدمة</w:t>
      </w:r>
    </w:p>
    <w:p w14:paraId="7737059D" w14:textId="460E91D8" w:rsidR="007F05D6" w:rsidRDefault="007F05D6" w:rsidP="007F05D6">
      <w:pPr>
        <w:bidi/>
        <w:spacing w:after="120" w:line="300" w:lineRule="auto"/>
      </w:pPr>
      <w:r w:rsidRPr="00E35F71">
        <w:rPr>
          <w:rFonts w:cs="Arial"/>
          <w:rtl/>
        </w:rPr>
        <w:t>على الراغبين</w:t>
      </w:r>
      <w:r w:rsidRPr="00E35F71">
        <w:rPr>
          <w:rFonts w:cs="Arial"/>
          <w:szCs w:val="28"/>
          <w:rtl/>
        </w:rPr>
        <w:t xml:space="preserve"> </w:t>
      </w:r>
      <w:r>
        <w:rPr>
          <w:rtl/>
        </w:rPr>
        <w:t>في الاستفادة من هذه الخدمة اتباع الخطوات التالية:</w:t>
      </w:r>
    </w:p>
    <w:p w14:paraId="17A2DEC6" w14:textId="416D03EC" w:rsidR="007F05D6" w:rsidRDefault="007F05D6" w:rsidP="007F05D6">
      <w:pPr>
        <w:bidi/>
        <w:spacing w:after="120" w:line="300" w:lineRule="auto"/>
      </w:pPr>
      <w:r>
        <w:rPr>
          <w:rtl/>
        </w:rPr>
        <w:t>•</w:t>
      </w:r>
      <w:r>
        <w:t xml:space="preserve"> </w:t>
      </w:r>
      <w:r>
        <w:rPr>
          <w:rtl/>
        </w:rPr>
        <w:t xml:space="preserve">تعبئة </w:t>
      </w:r>
      <w:r w:rsidRPr="00E35F71">
        <w:rPr>
          <w:rFonts w:cs="Arial"/>
          <w:b/>
          <w:rtl/>
        </w:rPr>
        <w:t>الاستمارة المخصصة</w:t>
      </w:r>
      <w:r>
        <w:rPr>
          <w:rtl/>
        </w:rPr>
        <w:t xml:space="preserve"> </w:t>
      </w:r>
      <w:r>
        <w:rPr>
          <w:b/>
          <w:color w:val="0F2240"/>
          <w:rtl/>
        </w:rPr>
        <w:t>R2 المتاح</w:t>
      </w:r>
      <w:r w:rsidRPr="00E35F71">
        <w:rPr>
          <w:rFonts w:cs="Arial"/>
          <w:b/>
          <w:color w:val="0F2240"/>
          <w:rtl/>
        </w:rPr>
        <w:t>ة</w:t>
      </w:r>
      <w:r>
        <w:rPr>
          <w:b/>
          <w:color w:val="0F2240"/>
          <w:rtl/>
        </w:rPr>
        <w:t xml:space="preserve"> </w:t>
      </w:r>
      <w:r>
        <w:rPr>
          <w:rtl/>
        </w:rPr>
        <w:t>على الموقع الإلكتروني ompic.ma</w:t>
      </w:r>
      <w:r w:rsidRPr="0024761E">
        <w:rPr>
          <w:rStyle w:val="Lienhypertexte"/>
          <w:b/>
          <w:rtl/>
        </w:rPr>
        <w:t>.</w:t>
      </w:r>
      <w:r w:rsidR="0024761E" w:rsidRPr="0024761E">
        <w:rPr>
          <w:rFonts w:asciiTheme="minorBidi" w:hAnsiTheme="minorBidi"/>
          <w:sz w:val="22"/>
          <w:szCs w:val="18"/>
        </w:rPr>
        <w:t>www</w:t>
      </w:r>
    </w:p>
    <w:p w14:paraId="3A32EF10" w14:textId="77777777" w:rsidR="007F05D6" w:rsidRDefault="007F05D6" w:rsidP="007F05D6">
      <w:pPr>
        <w:bidi/>
        <w:spacing w:after="80" w:line="288" w:lineRule="auto"/>
        <w:ind w:right="360"/>
      </w:pPr>
      <w:r>
        <w:rPr>
          <w:rtl/>
        </w:rPr>
        <w:t xml:space="preserve">• </w:t>
      </w:r>
      <w:r>
        <w:rPr>
          <w:b/>
          <w:rtl/>
        </w:rPr>
        <w:t xml:space="preserve">إرسال </w:t>
      </w:r>
      <w:r w:rsidRPr="00E35F71">
        <w:rPr>
          <w:rFonts w:cs="Arial"/>
          <w:b/>
          <w:rtl/>
        </w:rPr>
        <w:t xml:space="preserve">الاستمارة </w:t>
      </w:r>
      <w:r>
        <w:rPr>
          <w:b/>
          <w:rtl/>
        </w:rPr>
        <w:t>عبر البريد الإلكتروني</w:t>
      </w:r>
      <w:r>
        <w:rPr>
          <w:b/>
          <w:color w:val="0F2240"/>
          <w:rtl/>
        </w:rPr>
        <w:t xml:space="preserve"> </w:t>
      </w:r>
      <w:hyperlink r:id="rId6" w:history="1">
        <w:r w:rsidRPr="00D65798">
          <w:rPr>
            <w:rStyle w:val="Lienhypertexte"/>
            <w:b/>
            <w:rtl/>
          </w:rPr>
          <w:t>prestationbrevet@ompic.ma</w:t>
        </w:r>
      </w:hyperlink>
      <w:r>
        <w:rPr>
          <w:b/>
          <w:color w:val="0F2240"/>
        </w:rPr>
        <w:t xml:space="preserve">  </w:t>
      </w:r>
      <w:r w:rsidRPr="00D93727">
        <w:rPr>
          <w:rFonts w:cs="Arial"/>
          <w:b/>
          <w:color w:val="0F2240"/>
          <w:rtl/>
        </w:rPr>
        <w:t>او</w:t>
      </w:r>
      <w:r>
        <w:rPr>
          <w:rFonts w:cs="Arial"/>
          <w:b/>
          <w:color w:val="0F2240"/>
        </w:rPr>
        <w:t xml:space="preserve"> </w:t>
      </w:r>
      <w:r>
        <w:rPr>
          <w:b/>
          <w:rtl/>
        </w:rPr>
        <w:t>الإيداع المباشر</w:t>
      </w:r>
      <w:r>
        <w:rPr>
          <w:rtl/>
        </w:rPr>
        <w:t xml:space="preserve"> لدى المكتب المغربي للملكية الصناعية والتجارية (OMPIC)</w:t>
      </w:r>
    </w:p>
    <w:p w14:paraId="2A5832BB" w14:textId="5ACF71B1" w:rsidR="009B3D66" w:rsidRDefault="00000000" w:rsidP="007F05D6">
      <w:pPr>
        <w:bidi/>
        <w:spacing w:after="80" w:line="288" w:lineRule="auto"/>
        <w:ind w:right="360"/>
      </w:pPr>
      <w:r>
        <w:rPr>
          <w:rtl/>
        </w:rPr>
        <w:t>يجب أن يكون الطلب مصحوباً بجميع الإثباتات المستوجبة لدفع الرسوم المستحقة.</w:t>
      </w:r>
    </w:p>
    <w:p w14:paraId="149F056E" w14:textId="77777777" w:rsidR="009B3D66" w:rsidRDefault="00000000">
      <w:pPr>
        <w:bidi/>
        <w:spacing w:before="160" w:after="240"/>
        <w:ind w:left="288" w:right="288"/>
      </w:pPr>
      <w:r>
        <w:rPr>
          <w:b/>
          <w:color w:val="C0392B"/>
          <w:rtl/>
        </w:rPr>
        <w:t xml:space="preserve">ملاحظة هامة: </w:t>
      </w:r>
      <w:r>
        <w:rPr>
          <w:b/>
          <w:rtl/>
        </w:rPr>
        <w:t>كل طلب لا يتضمن الوثائق والمعلومات المشار إليها أعلاه يعتبر غير مقبول.</w:t>
      </w:r>
    </w:p>
    <w:sectPr w:rsidR="009B3D6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99847DD"/>
    <w:multiLevelType w:val="hybridMultilevel"/>
    <w:tmpl w:val="49AA73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1858331">
    <w:abstractNumId w:val="8"/>
  </w:num>
  <w:num w:numId="2" w16cid:durableId="1353261367">
    <w:abstractNumId w:val="6"/>
  </w:num>
  <w:num w:numId="3" w16cid:durableId="1063597240">
    <w:abstractNumId w:val="5"/>
  </w:num>
  <w:num w:numId="4" w16cid:durableId="1889145947">
    <w:abstractNumId w:val="4"/>
  </w:num>
  <w:num w:numId="5" w16cid:durableId="1515996099">
    <w:abstractNumId w:val="7"/>
  </w:num>
  <w:num w:numId="6" w16cid:durableId="1076896191">
    <w:abstractNumId w:val="3"/>
  </w:num>
  <w:num w:numId="7" w16cid:durableId="2105029127">
    <w:abstractNumId w:val="2"/>
  </w:num>
  <w:num w:numId="8" w16cid:durableId="1891309053">
    <w:abstractNumId w:val="1"/>
  </w:num>
  <w:num w:numId="9" w16cid:durableId="350108349">
    <w:abstractNumId w:val="0"/>
  </w:num>
  <w:num w:numId="10" w16cid:durableId="7450286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761E"/>
    <w:rsid w:val="0029639D"/>
    <w:rsid w:val="00326F90"/>
    <w:rsid w:val="00340E07"/>
    <w:rsid w:val="007F05D6"/>
    <w:rsid w:val="009B3D66"/>
    <w:rsid w:val="00A30F7E"/>
    <w:rsid w:val="00AA1D8D"/>
    <w:rsid w:val="00B47730"/>
    <w:rsid w:val="00C41901"/>
    <w:rsid w:val="00CB0664"/>
    <w:rsid w:val="00FC693F"/>
    <w:rsid w:val="00FF01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2F0B6"/>
  <w14:defaultImageDpi w14:val="300"/>
  <w15:docId w15:val="{7882E87F-49F0-4AA3-BA21-BFAF0E0A5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raditional Arabic" w:hAnsi="Traditional Arabic"/>
      <w:color w:val="282828"/>
      <w:sz w:val="2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7F05D6"/>
    <w:rPr>
      <w:color w:val="0000FF" w:themeColor="hyperlink"/>
      <w:u w:val="single"/>
    </w:rPr>
  </w:style>
  <w:style w:type="character" w:styleId="Mentionnonrsolue">
    <w:name w:val="Unresolved Mention"/>
    <w:basedOn w:val="Policepardfaut"/>
    <w:uiPriority w:val="99"/>
    <w:semiHidden/>
    <w:unhideWhenUsed/>
    <w:rsid w:val="007F0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estationbrevet@ompic.m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470</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Redouane TELLAA</cp:lastModifiedBy>
  <cp:revision>5</cp:revision>
  <dcterms:created xsi:type="dcterms:W3CDTF">2013-12-23T23:15:00Z</dcterms:created>
  <dcterms:modified xsi:type="dcterms:W3CDTF">2026-10-26T15:20:00Z</dcterms:modified>
  <cp:category/>
</cp:coreProperties>
</file>